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F068F1B" w14:textId="77777777"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r w:rsidRPr="00F3449A">
        <w:rPr>
          <w:rFonts w:ascii="Arial" w:hAnsi="Arial" w:cs="Arial"/>
        </w:rPr>
        <w:t xml:space="preserve"> </w:t>
      </w:r>
    </w:p>
    <w:p w14:paraId="49F9EB03" w14:textId="77777777" w:rsidR="00427BA4" w:rsidRPr="00427BA4" w:rsidRDefault="00427BA4" w:rsidP="00427BA4">
      <w:pPr>
        <w:ind w:left="0" w:firstLine="0"/>
        <w:jc w:val="center"/>
        <w:rPr>
          <w:b/>
          <w:sz w:val="24"/>
          <w:szCs w:val="24"/>
        </w:rPr>
      </w:pPr>
      <w:r w:rsidRPr="00427BA4">
        <w:rPr>
          <w:b/>
          <w:sz w:val="24"/>
          <w:szCs w:val="24"/>
        </w:rPr>
        <w:t xml:space="preserve">REACT-EU 98 - </w:t>
      </w:r>
    </w:p>
    <w:p w14:paraId="42CF1E71" w14:textId="34D0FD8E" w:rsidR="00E60850" w:rsidRDefault="00427BA4" w:rsidP="00427BA4">
      <w:pPr>
        <w:ind w:left="284" w:firstLine="0"/>
        <w:jc w:val="center"/>
        <w:rPr>
          <w:b/>
          <w:sz w:val="24"/>
          <w:szCs w:val="24"/>
        </w:rPr>
      </w:pPr>
      <w:r w:rsidRPr="00427BA4">
        <w:rPr>
          <w:b/>
          <w:sz w:val="24"/>
          <w:szCs w:val="24"/>
        </w:rPr>
        <w:t>Skiaskopické RTG přístroje s C ramenem - Skiaskopický RTG přístroj s C-ramenem pro Nemocnici Litoměřice, o.z.</w:t>
      </w:r>
    </w:p>
    <w:p w14:paraId="509C0A80" w14:textId="77777777" w:rsidR="00427BA4" w:rsidRDefault="00427BA4" w:rsidP="00427BA4">
      <w:pPr>
        <w:ind w:left="284" w:firstLine="0"/>
        <w:jc w:val="center"/>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A9F7B19" w14:textId="77777777" w:rsidR="00427BA4" w:rsidRPr="00427BA4" w:rsidRDefault="00427BA4" w:rsidP="00427BA4">
      <w:pPr>
        <w:ind w:left="284" w:firstLine="0"/>
        <w:rPr>
          <w:rStyle w:val="datalabel"/>
          <w:rFonts w:ascii="Arial" w:hAnsi="Arial" w:cs="Arial"/>
          <w:b/>
          <w:shd w:val="clear" w:color="auto" w:fill="FBE4D5"/>
        </w:rPr>
      </w:pPr>
      <w:r w:rsidRPr="00427BA4">
        <w:rPr>
          <w:rStyle w:val="datalabel"/>
          <w:rFonts w:ascii="Arial" w:hAnsi="Arial" w:cs="Arial"/>
          <w:b/>
          <w:shd w:val="clear" w:color="auto" w:fill="FBE4D5"/>
        </w:rPr>
        <w:t>Přístrojové vybavení nemocnice Litoměřice</w:t>
      </w:r>
    </w:p>
    <w:p w14:paraId="5492BF24" w14:textId="5A2F3016" w:rsidR="00115595" w:rsidRDefault="00427BA4" w:rsidP="00115595">
      <w:pPr>
        <w:ind w:left="284" w:firstLine="0"/>
        <w:rPr>
          <w:rStyle w:val="datalabel"/>
          <w:rFonts w:ascii="Arial" w:hAnsi="Arial" w:cs="Arial"/>
          <w:b/>
          <w:shd w:val="clear" w:color="auto" w:fill="FBE4D5"/>
        </w:rPr>
      </w:pPr>
      <w:r w:rsidRPr="00427BA4">
        <w:rPr>
          <w:rStyle w:val="datalabel"/>
          <w:rFonts w:ascii="Arial" w:hAnsi="Arial" w:cs="Arial"/>
          <w:b/>
          <w:shd w:val="clear" w:color="auto" w:fill="FBE4D5"/>
        </w:rPr>
        <w:t>registrační číslo CZ.06.6.127/0.0/0.0/21_121/0016263</w:t>
      </w:r>
      <w:r w:rsidR="00115595">
        <w:rPr>
          <w:rStyle w:val="datalabel"/>
          <w:rFonts w:ascii="Arial" w:hAnsi="Arial" w:cs="Arial"/>
          <w:b/>
          <w:shd w:val="clear" w:color="auto" w:fill="FBE4D5"/>
        </w:rPr>
        <w:t>,</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116FCDBA"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9340801" w14:textId="7BD2E9CC" w:rsidR="006348C2" w:rsidRPr="00C76F39" w:rsidRDefault="006348C2" w:rsidP="005E6FD8">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6E60D562" w14:textId="77777777" w:rsidR="005E6FD8" w:rsidRPr="00C333E9" w:rsidRDefault="005E6FD8" w:rsidP="00C333E9">
      <w:pPr>
        <w:numPr>
          <w:ilvl w:val="0"/>
          <w:numId w:val="9"/>
        </w:numPr>
        <w:tabs>
          <w:tab w:val="left" w:pos="1134"/>
        </w:tabs>
        <w:spacing w:line="276" w:lineRule="auto"/>
        <w:ind w:left="1134" w:hanging="425"/>
        <w:rPr>
          <w:rFonts w:ascii="Arial" w:hAnsi="Arial" w:cs="Arial"/>
        </w:rPr>
      </w:pPr>
      <w:r w:rsidRPr="00C333E9">
        <w:rPr>
          <w:rFonts w:ascii="Arial" w:hAnsi="Arial" w:cs="Arial"/>
          <w:i/>
        </w:rPr>
        <w:t>demontáž stávajícího přístroje</w:t>
      </w:r>
      <w:r w:rsidR="00C333E9" w:rsidRPr="00C333E9">
        <w:rPr>
          <w:rFonts w:ascii="Arial" w:hAnsi="Arial" w:cs="Arial"/>
          <w:i/>
        </w:rPr>
        <w:t xml:space="preserve"> a </w:t>
      </w:r>
      <w:r w:rsidRPr="00C333E9">
        <w:rPr>
          <w:rFonts w:ascii="Arial" w:hAnsi="Arial" w:cs="Arial"/>
          <w:i/>
        </w:rPr>
        <w:t xml:space="preserve">ekologická likvidace stávajícího přístroje. </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r w:rsidRPr="00F3449A">
        <w:rPr>
          <w:rFonts w:ascii="Arial" w:hAnsi="Arial" w:cs="Arial"/>
          <w:color w:val="000000"/>
        </w:rPr>
        <w:t xml:space="preserve">ust.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ust.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4A9E0C1B" w14:textId="77777777" w:rsidR="00427BA4" w:rsidRPr="00427BA4" w:rsidRDefault="00097377" w:rsidP="00427BA4">
      <w:pPr>
        <w:numPr>
          <w:ilvl w:val="0"/>
          <w:numId w:val="11"/>
        </w:numPr>
        <w:shd w:val="clear" w:color="auto" w:fill="FBE4D5"/>
        <w:tabs>
          <w:tab w:val="left" w:pos="426"/>
        </w:tabs>
        <w:rPr>
          <w:rFonts w:ascii="Arial" w:hAnsi="Arial" w:cs="Arial"/>
          <w:b/>
          <w:color w:val="000000"/>
        </w:rPr>
      </w:pPr>
      <w:r>
        <w:rPr>
          <w:rFonts w:ascii="Arial" w:hAnsi="Arial" w:cs="Arial"/>
          <w:color w:val="000000"/>
        </w:rPr>
        <w:t>název projektu</w:t>
      </w:r>
      <w:r w:rsidRPr="00EC04EF">
        <w:rPr>
          <w:rFonts w:ascii="Arial" w:hAnsi="Arial" w:cs="Arial"/>
          <w:color w:val="000000"/>
        </w:rPr>
        <w:t xml:space="preserve">: </w:t>
      </w:r>
    </w:p>
    <w:p w14:paraId="21BD67EC" w14:textId="77777777" w:rsidR="00427BA4" w:rsidRPr="00427BA4" w:rsidRDefault="00427BA4" w:rsidP="00427BA4">
      <w:pPr>
        <w:numPr>
          <w:ilvl w:val="0"/>
          <w:numId w:val="11"/>
        </w:numPr>
        <w:shd w:val="clear" w:color="auto" w:fill="FBE4D5"/>
        <w:tabs>
          <w:tab w:val="left" w:pos="426"/>
        </w:tabs>
        <w:rPr>
          <w:rFonts w:ascii="Arial" w:hAnsi="Arial" w:cs="Arial"/>
          <w:b/>
          <w:color w:val="000000"/>
        </w:rPr>
      </w:pPr>
      <w:r w:rsidRPr="00427BA4">
        <w:rPr>
          <w:rFonts w:ascii="Arial" w:hAnsi="Arial" w:cs="Arial"/>
          <w:b/>
          <w:color w:val="000000"/>
        </w:rPr>
        <w:t>Přístrojové vybavení nemocnice Litoměřice</w:t>
      </w:r>
    </w:p>
    <w:p w14:paraId="49A2B94E" w14:textId="7B8BCF27" w:rsidR="00097377" w:rsidRPr="00A57531" w:rsidRDefault="00427BA4" w:rsidP="00427BA4">
      <w:pPr>
        <w:numPr>
          <w:ilvl w:val="0"/>
          <w:numId w:val="11"/>
        </w:numPr>
        <w:shd w:val="clear" w:color="auto" w:fill="FBE4D5"/>
        <w:tabs>
          <w:tab w:val="left" w:pos="426"/>
        </w:tabs>
        <w:rPr>
          <w:rStyle w:val="datalabel"/>
          <w:rFonts w:ascii="Arial" w:hAnsi="Arial" w:cs="Arial"/>
          <w:color w:val="000000"/>
        </w:rPr>
      </w:pPr>
      <w:r w:rsidRPr="00427BA4">
        <w:rPr>
          <w:rFonts w:ascii="Arial" w:hAnsi="Arial" w:cs="Arial"/>
          <w:b/>
          <w:color w:val="000000"/>
        </w:rPr>
        <w:t>registrační číslo CZ.06.6.127/0.0/0.0/21_121/0016263</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smlouvy, a to na základě protokolu o předání zboží 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3F155104"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E60850">
        <w:rPr>
          <w:rFonts w:ascii="Arial" w:hAnsi="Arial" w:cs="Arial"/>
        </w:rPr>
        <w:t>60</w:t>
      </w:r>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3BABD00C" w14:textId="77777777" w:rsidR="00427BA4" w:rsidRPr="00427BA4" w:rsidRDefault="00427BA4" w:rsidP="00427BA4">
      <w:pPr>
        <w:spacing w:line="276" w:lineRule="auto"/>
        <w:ind w:left="1077" w:firstLine="0"/>
        <w:rPr>
          <w:rFonts w:ascii="Arial" w:hAnsi="Arial" w:cs="Arial"/>
        </w:rPr>
      </w:pPr>
      <w:r w:rsidRPr="00427BA4">
        <w:rPr>
          <w:rFonts w:ascii="Arial" w:hAnsi="Arial" w:cs="Arial"/>
        </w:rPr>
        <w:t>Krajská zdravotní, a.s. - Nemocnice Litoměřice, o.z.</w:t>
      </w:r>
    </w:p>
    <w:p w14:paraId="49592411" w14:textId="77777777" w:rsidR="00427BA4" w:rsidRPr="00427BA4" w:rsidRDefault="00427BA4" w:rsidP="00427BA4">
      <w:pPr>
        <w:spacing w:line="276" w:lineRule="auto"/>
        <w:ind w:left="1077" w:firstLine="0"/>
        <w:rPr>
          <w:rFonts w:ascii="Arial" w:hAnsi="Arial" w:cs="Arial"/>
        </w:rPr>
      </w:pPr>
      <w:r w:rsidRPr="00427BA4">
        <w:rPr>
          <w:rFonts w:ascii="Arial" w:hAnsi="Arial" w:cs="Arial"/>
        </w:rPr>
        <w:t>RDG oddělení</w:t>
      </w:r>
    </w:p>
    <w:p w14:paraId="7BC9737E" w14:textId="77777777" w:rsidR="00427BA4" w:rsidRPr="00427BA4" w:rsidRDefault="00427BA4" w:rsidP="00427BA4">
      <w:pPr>
        <w:spacing w:line="276" w:lineRule="auto"/>
        <w:ind w:left="1077" w:firstLine="0"/>
        <w:rPr>
          <w:rFonts w:ascii="Arial" w:hAnsi="Arial" w:cs="Arial"/>
        </w:rPr>
      </w:pPr>
      <w:r w:rsidRPr="00427BA4">
        <w:rPr>
          <w:rFonts w:ascii="Arial" w:hAnsi="Arial" w:cs="Arial"/>
        </w:rPr>
        <w:t>Žitenická 2084</w:t>
      </w:r>
    </w:p>
    <w:p w14:paraId="7956F262" w14:textId="139D2334" w:rsidR="00115595" w:rsidRDefault="00427BA4" w:rsidP="00115595">
      <w:pPr>
        <w:spacing w:line="276" w:lineRule="auto"/>
        <w:ind w:left="1077" w:firstLine="0"/>
        <w:rPr>
          <w:rFonts w:ascii="Arial" w:hAnsi="Arial" w:cs="Arial"/>
        </w:rPr>
      </w:pPr>
      <w:r w:rsidRPr="00427BA4">
        <w:rPr>
          <w:rFonts w:ascii="Arial" w:hAnsi="Arial" w:cs="Arial"/>
        </w:rPr>
        <w:t>412 01 Litoměřice</w:t>
      </w:r>
    </w:p>
    <w:p w14:paraId="179D8CB2" w14:textId="77777777" w:rsidR="005E6FD8" w:rsidRPr="00115595" w:rsidRDefault="005E6FD8" w:rsidP="00115595">
      <w:pPr>
        <w:pStyle w:val="Odstavecseseznamem"/>
        <w:numPr>
          <w:ilvl w:val="0"/>
          <w:numId w:val="13"/>
        </w:numPr>
        <w:spacing w:line="276" w:lineRule="auto"/>
        <w:rPr>
          <w:rFonts w:ascii="Arial" w:hAnsi="Arial" w:cs="Arial"/>
        </w:rPr>
      </w:pPr>
      <w:r w:rsidRPr="00115595">
        <w:rPr>
          <w:rFonts w:ascii="Arial" w:hAnsi="Arial" w:cs="Arial"/>
          <w:i/>
        </w:rPr>
        <w:t>demontáž stávajícího přístroje</w:t>
      </w:r>
      <w:r w:rsidR="00C333E9">
        <w:rPr>
          <w:rFonts w:ascii="Arial" w:hAnsi="Arial" w:cs="Arial"/>
          <w:i/>
        </w:rPr>
        <w: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2ECBDB59" w:rsidR="005E6FD8" w:rsidRDefault="005E6FD8" w:rsidP="005E6FD8">
      <w:pPr>
        <w:numPr>
          <w:ilvl w:val="0"/>
          <w:numId w:val="13"/>
        </w:numPr>
        <w:spacing w:line="276" w:lineRule="auto"/>
        <w:rPr>
          <w:rFonts w:ascii="Arial" w:hAnsi="Arial" w:cs="Arial"/>
          <w:i/>
        </w:rPr>
      </w:pPr>
      <w:r w:rsidRPr="00D551AB">
        <w:rPr>
          <w:rFonts w:ascii="Arial" w:hAnsi="Arial" w:cs="Arial"/>
          <w:i/>
        </w:rPr>
        <w:lastRenderedPageBreak/>
        <w:t>provedení všech přejímacích a provozních testů a zkoušek dle platné legislativy a provedení příslušných revizí</w:t>
      </w:r>
      <w:r w:rsidR="00C333E9">
        <w:rPr>
          <w:rFonts w:ascii="Arial" w:hAnsi="Arial" w:cs="Arial"/>
          <w:i/>
        </w:rPr>
        <w:t>,</w:t>
      </w:r>
    </w:p>
    <w:p w14:paraId="5DAAB02F" w14:textId="2F442DA3" w:rsidR="002F44C9" w:rsidRPr="00D551AB" w:rsidRDefault="002F44C9" w:rsidP="005E6FD8">
      <w:pPr>
        <w:numPr>
          <w:ilvl w:val="0"/>
          <w:numId w:val="13"/>
        </w:numPr>
        <w:spacing w:line="276" w:lineRule="auto"/>
        <w:rPr>
          <w:rFonts w:ascii="Arial" w:hAnsi="Arial" w:cs="Arial"/>
          <w:i/>
        </w:rPr>
      </w:pPr>
      <w:r>
        <w:rPr>
          <w:rFonts w:ascii="Arial" w:hAnsi="Arial" w:cs="Arial"/>
          <w:i/>
        </w:rPr>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77777777"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C333E9" w:rsidRPr="00C333E9">
        <w:rPr>
          <w:rFonts w:ascii="Arial" w:hAnsi="Arial" w:cs="Arial"/>
          <w:i/>
        </w:rPr>
        <w:t xml:space="preserve"> a </w:t>
      </w:r>
      <w:r w:rsidR="005E6FD8" w:rsidRPr="00C333E9">
        <w:rPr>
          <w:rFonts w:ascii="Arial" w:hAnsi="Arial" w:cs="Arial"/>
          <w:i/>
        </w:rPr>
        <w:t>ekologická likvidace stávajícího přístroje.</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w:t>
      </w:r>
      <w:r w:rsidRPr="00F3449A">
        <w:rPr>
          <w:rFonts w:ascii="Arial" w:hAnsi="Arial" w:cs="Arial"/>
        </w:rPr>
        <w:lastRenderedPageBreak/>
        <w:t>které jsou obvykl</w:t>
      </w:r>
      <w:r>
        <w:rPr>
          <w:rFonts w:ascii="Arial" w:hAnsi="Arial" w:cs="Arial"/>
        </w:rPr>
        <w:t>e</w:t>
      </w:r>
      <w:r w:rsidRPr="00F3449A">
        <w:rPr>
          <w:rFonts w:ascii="Arial" w:hAnsi="Arial" w:cs="Arial"/>
        </w:rPr>
        <w:t xml:space="preserve"> na zboží, jež je předmětem této smlouvy, kladeny) a dále, že bude splňovat 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63BB693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2F44C9">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6DC90E5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bookmarkStart w:id="0" w:name="_GoBack"/>
      <w:bookmarkEnd w:id="0"/>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lastRenderedPageBreak/>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77777777"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197DD2">
        <w:rPr>
          <w:rFonts w:ascii="Arial" w:hAnsi="Arial" w:cs="Arial"/>
          <w:b/>
        </w:rPr>
        <w:t>96</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77777777"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Pr="00F95B96">
        <w:rPr>
          <w:rFonts w:ascii="Arial" w:hAnsi="Arial" w:cs="Arial"/>
          <w:szCs w:val="24"/>
          <w:highlight w:val="yellow"/>
        </w:rPr>
        <w:t>měsíčních/čtvrtletních/ročních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měsíce/čtvrtletí/roku</w:t>
      </w:r>
      <w:r w:rsidRPr="00F95B96">
        <w:rPr>
          <w:rFonts w:ascii="Arial" w:hAnsi="Arial" w:cs="Arial"/>
          <w:szCs w:val="24"/>
        </w:rPr>
        <w:t xml:space="preserve">. Výše </w:t>
      </w:r>
      <w:r w:rsidRPr="00F95B96">
        <w:rPr>
          <w:rFonts w:ascii="Arial" w:hAnsi="Arial" w:cs="Arial"/>
          <w:szCs w:val="24"/>
          <w:highlight w:val="yellow"/>
        </w:rPr>
        <w:t>měsíční/čtvrtletní/roční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5D995D0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FE7AA0">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lastRenderedPageBreak/>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11607E2"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FE7AA0">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FE7AA0">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lastRenderedPageBreak/>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9A114" w14:textId="77777777" w:rsidR="00B54D22" w:rsidRDefault="00B54D22">
      <w:r>
        <w:separator/>
      </w:r>
    </w:p>
  </w:endnote>
  <w:endnote w:type="continuationSeparator" w:id="0">
    <w:p w14:paraId="4BAF3061" w14:textId="77777777" w:rsidR="00B54D22" w:rsidRDefault="00B54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5BAE3A06"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BB424C">
            <w:rPr>
              <w:rStyle w:val="slostrnky"/>
              <w:rFonts w:ascii="Arial" w:hAnsi="Arial" w:cs="Arial"/>
              <w:noProof/>
              <w:sz w:val="16"/>
              <w:szCs w:val="16"/>
            </w:rPr>
            <w:t>2</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BB424C">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238B3" w14:textId="77777777" w:rsidR="00B54D22" w:rsidRDefault="00B54D22">
      <w:r>
        <w:separator/>
      </w:r>
    </w:p>
  </w:footnote>
  <w:footnote w:type="continuationSeparator" w:id="0">
    <w:p w14:paraId="135A365A" w14:textId="77777777" w:rsidR="00B54D22" w:rsidRDefault="00B54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64D6"/>
    <w:rsid w:val="00030CE7"/>
    <w:rsid w:val="00097377"/>
    <w:rsid w:val="000B7477"/>
    <w:rsid w:val="000E7DE4"/>
    <w:rsid w:val="000F2313"/>
    <w:rsid w:val="00103E11"/>
    <w:rsid w:val="00113AD1"/>
    <w:rsid w:val="00115595"/>
    <w:rsid w:val="00126066"/>
    <w:rsid w:val="00140646"/>
    <w:rsid w:val="00151BAE"/>
    <w:rsid w:val="0016487C"/>
    <w:rsid w:val="00177051"/>
    <w:rsid w:val="00197DD2"/>
    <w:rsid w:val="001B2CBF"/>
    <w:rsid w:val="001B3460"/>
    <w:rsid w:val="001F36C8"/>
    <w:rsid w:val="00234E15"/>
    <w:rsid w:val="00256D49"/>
    <w:rsid w:val="00267A32"/>
    <w:rsid w:val="00273D49"/>
    <w:rsid w:val="002F44C9"/>
    <w:rsid w:val="00320123"/>
    <w:rsid w:val="0032057F"/>
    <w:rsid w:val="00377FC4"/>
    <w:rsid w:val="0038544C"/>
    <w:rsid w:val="003A601F"/>
    <w:rsid w:val="003E1F34"/>
    <w:rsid w:val="00404F48"/>
    <w:rsid w:val="00427BA4"/>
    <w:rsid w:val="00496ED3"/>
    <w:rsid w:val="004A0B42"/>
    <w:rsid w:val="004A1DCB"/>
    <w:rsid w:val="004D48A6"/>
    <w:rsid w:val="005766E7"/>
    <w:rsid w:val="005B6BF4"/>
    <w:rsid w:val="005D0DAC"/>
    <w:rsid w:val="005E3A86"/>
    <w:rsid w:val="005E6FD8"/>
    <w:rsid w:val="005F00BE"/>
    <w:rsid w:val="005F06E6"/>
    <w:rsid w:val="006348C2"/>
    <w:rsid w:val="00642054"/>
    <w:rsid w:val="00655E28"/>
    <w:rsid w:val="00686DDA"/>
    <w:rsid w:val="006E15F8"/>
    <w:rsid w:val="00765916"/>
    <w:rsid w:val="00772601"/>
    <w:rsid w:val="007B7D05"/>
    <w:rsid w:val="00820598"/>
    <w:rsid w:val="00834AF3"/>
    <w:rsid w:val="008D69E9"/>
    <w:rsid w:val="009233D5"/>
    <w:rsid w:val="00985F70"/>
    <w:rsid w:val="009A21AE"/>
    <w:rsid w:val="009C150B"/>
    <w:rsid w:val="009C781B"/>
    <w:rsid w:val="009E1ABE"/>
    <w:rsid w:val="00A07072"/>
    <w:rsid w:val="00A57531"/>
    <w:rsid w:val="00AC5ED4"/>
    <w:rsid w:val="00AD0CB9"/>
    <w:rsid w:val="00B07C66"/>
    <w:rsid w:val="00B07E68"/>
    <w:rsid w:val="00B54D22"/>
    <w:rsid w:val="00BB0D3C"/>
    <w:rsid w:val="00BB424C"/>
    <w:rsid w:val="00BC1D31"/>
    <w:rsid w:val="00BC6352"/>
    <w:rsid w:val="00BC779D"/>
    <w:rsid w:val="00BE16F1"/>
    <w:rsid w:val="00C054B5"/>
    <w:rsid w:val="00C204C8"/>
    <w:rsid w:val="00C333E9"/>
    <w:rsid w:val="00C337A4"/>
    <w:rsid w:val="00C91253"/>
    <w:rsid w:val="00CA05F9"/>
    <w:rsid w:val="00CA371A"/>
    <w:rsid w:val="00CB6886"/>
    <w:rsid w:val="00D07E35"/>
    <w:rsid w:val="00D11E6D"/>
    <w:rsid w:val="00D34B9F"/>
    <w:rsid w:val="00D4527C"/>
    <w:rsid w:val="00D5753D"/>
    <w:rsid w:val="00D608E6"/>
    <w:rsid w:val="00D90AAF"/>
    <w:rsid w:val="00DA1958"/>
    <w:rsid w:val="00DA5E91"/>
    <w:rsid w:val="00DD74D9"/>
    <w:rsid w:val="00E003DE"/>
    <w:rsid w:val="00E60850"/>
    <w:rsid w:val="00E762DB"/>
    <w:rsid w:val="00E81FE4"/>
    <w:rsid w:val="00E927AE"/>
    <w:rsid w:val="00EA04A2"/>
    <w:rsid w:val="00EF287A"/>
    <w:rsid w:val="00F64486"/>
    <w:rsid w:val="00F753A5"/>
    <w:rsid w:val="00F95B96"/>
    <w:rsid w:val="00F95EB7"/>
    <w:rsid w:val="00FA2F9D"/>
    <w:rsid w:val="00FC1258"/>
    <w:rsid w:val="00FE7AA0"/>
    <w:rsid w:val="00FF357B"/>
    <w:rsid w:val="00FF5050"/>
    <w:rsid w:val="00FF7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
    <w:name w:val="Nevyřešená zmínka"/>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Props1.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2.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3.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3996</Words>
  <Characters>23578</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27519</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3</cp:revision>
  <dcterms:created xsi:type="dcterms:W3CDTF">2022-03-18T09:08:00Z</dcterms:created>
  <dcterms:modified xsi:type="dcterms:W3CDTF">2022-03-18T10:38:00Z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